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bookmarkStart w:id="0" w:name="_GoBack"/>
      <w:bookmarkEnd w:id="0"/>
      <w:r w:rsidRPr="00E23637">
        <w:rPr>
          <w:szCs w:val="24"/>
        </w:rPr>
        <w:t>I-56</w:t>
      </w:r>
    </w:p>
    <w:p w:rsidR="00771384" w:rsidRPr="00E23637" w:rsidRDefault="00771384">
      <w:pPr>
        <w:pStyle w:val="Heading5"/>
        <w:rPr>
          <w:rFonts w:ascii="Times New Roman" w:hAnsi="Times New Roman"/>
        </w:rPr>
      </w:pPr>
      <w:r w:rsidRPr="00E23637">
        <w:rPr>
          <w:rFonts w:ascii="Times New Roman" w:hAnsi="Times New Roman"/>
        </w:rPr>
        <w:t>LECTURER/ SENIOR LECTURER</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E23637">
        <w:rPr>
          <w:b/>
          <w:sz w:val="20"/>
        </w:rPr>
        <w:t>SECURITY OF EMPLOYMENT</w:t>
      </w:r>
    </w:p>
    <w:p w:rsidR="00771384" w:rsidRPr="00A7689C"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E23637">
        <w:rPr>
          <w:sz w:val="20"/>
        </w:rPr>
        <w:t xml:space="preserve">(Revised </w:t>
      </w:r>
      <w:r w:rsidR="00D021EA" w:rsidRPr="00D021EA">
        <w:rPr>
          <w:sz w:val="20"/>
        </w:rPr>
        <w:t>4</w:t>
      </w:r>
      <w:r w:rsidR="00753F4C" w:rsidRPr="00A7689C">
        <w:rPr>
          <w:sz w:val="20"/>
        </w:rPr>
        <w:t>/</w:t>
      </w:r>
      <w:r w:rsidR="0094719F" w:rsidRPr="00A7689C">
        <w:rPr>
          <w:sz w:val="20"/>
        </w:rPr>
        <w:t>15)</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r w:rsidRPr="00E23637">
        <w:rPr>
          <w:sz w:val="20"/>
          <w:u w:val="single"/>
        </w:rPr>
        <w:t>Security of Employment</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rPr>
        <w:t>An appointment with Security of Employment or Potential Security of Employment can only be granted in conjunction with the titles Lecturer or Senior Lecturer, Security of Employment is not a reward for length of service but is based upon appraised and recognized merit.  It cannot be conferred on an appointee unless there is an appropriately budgeted provision for the appointment.  An individual may first be appointed as Lecturer with Potential Security of Employment.  This may be viewed as a "security of employment-track" position, in the same way that an Assistant Professor position is a "tenure-track" position.  Appointments in this series must be at greater than 50%.  Lecturers with Potential Security of Employment and Lecturers or Senior Lecturers with Security of Employment are members of the Academic Senate when appointed at 100%.</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rPr>
        <w:t xml:space="preserve"> </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u w:val="single"/>
        </w:rPr>
        <w:t>Campus Policy on Allocation of FTE</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rPr>
        <w:t>It is campus policy to consider the possible allocation of a provision for a Lecturer or Senior Lecturer SOE</w:t>
      </w:r>
      <w:r w:rsidRPr="00E23637">
        <w:rPr>
          <w:i/>
          <w:sz w:val="20"/>
        </w:rPr>
        <w:t xml:space="preserve"> </w:t>
      </w:r>
      <w:r w:rsidRPr="00E23637">
        <w:rPr>
          <w:sz w:val="20"/>
        </w:rPr>
        <w:t>or Lecturer PSOE</w:t>
      </w:r>
      <w:r w:rsidRPr="00E23637">
        <w:rPr>
          <w:i/>
          <w:sz w:val="20"/>
        </w:rPr>
        <w:t xml:space="preserve"> </w:t>
      </w:r>
      <w:r w:rsidRPr="00E23637">
        <w:rPr>
          <w:sz w:val="20"/>
        </w:rPr>
        <w:t>primarily in cases where the curricular duties are so specialized in character that it would be difficult to assure continuance of the presentation of the subject matter with any other type of appointment.  A permanent allocation will be made only after an administrative review of a departmental request that must make a persuasive case that such an appointment fits this description and meets long range needs.  This request and supporting justification should be submitted to the Executive Vice Chancellor via the Dean</w:t>
      </w:r>
      <w:r w:rsidR="00CD0492" w:rsidRPr="00E23637">
        <w:rPr>
          <w:sz w:val="20"/>
        </w:rPr>
        <w:t>;</w:t>
      </w:r>
      <w:r w:rsidRPr="00E23637">
        <w:rPr>
          <w:sz w:val="20"/>
        </w:rPr>
        <w:t xml:space="preserve"> it will also be reviewed by the Coun</w:t>
      </w:r>
      <w:r w:rsidR="000B69F3">
        <w:rPr>
          <w:sz w:val="20"/>
        </w:rPr>
        <w:t>cil</w:t>
      </w:r>
      <w:r w:rsidRPr="00E23637">
        <w:rPr>
          <w:sz w:val="20"/>
        </w:rPr>
        <w:t xml:space="preserve"> on Planning and Budget.  Lecturer and Senior Lecturer provisions will be rarely granted and only after the most rigorous scrutiny.  The reason for this is that the university is primarily both a research and teaching institution.  Provisions for permanent appointments or reappointments with the possibility of permanence should normally be used for the appointment of regular ladder faculty, that is to say, faculty who engage in both research (or other creative activity) and teaching.</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E23637">
        <w:rPr>
          <w:b/>
          <w:sz w:val="20"/>
        </w:rPr>
        <w:t>I.</w:t>
      </w:r>
      <w:r w:rsidRPr="00E23637">
        <w:rPr>
          <w:b/>
          <w:sz w:val="20"/>
        </w:rPr>
        <w:tab/>
        <w:t>Qualifications</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sz w:val="20"/>
        </w:rPr>
      </w:pPr>
      <w:r w:rsidRPr="00E23637">
        <w:rPr>
          <w:sz w:val="20"/>
        </w:rPr>
        <w:t xml:space="preserve">At least one of the following qualifications is essential for appointment in the Lecturer SOE series: </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E23637">
        <w:rPr>
          <w:sz w:val="20"/>
        </w:rPr>
        <w:tab/>
        <w:t>1.</w:t>
      </w:r>
      <w:r w:rsidRPr="00E23637">
        <w:rPr>
          <w:sz w:val="20"/>
        </w:rPr>
        <w:tab/>
        <w:t>Teaching ability in a subject matter so specialized in character that it would be difficult to assure continuance of the presentation of the subject matter with any other type of appointment, and promise of future growth.</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E23637" w:rsidRDefault="00771384">
      <w:pPr>
        <w:widowControl w:val="0"/>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rPr>
        <w:t>Lecturer PSOE:  clear evidence of potential excellence in teaching and promise of future growth.</w:t>
      </w:r>
    </w:p>
    <w:p w:rsidR="00771384" w:rsidRPr="00E23637" w:rsidRDefault="007713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r w:rsidRPr="00E23637">
        <w:rPr>
          <w:sz w:val="20"/>
        </w:rPr>
        <w:t>Lecturer SOE:  teaching ability of exceptional quality, and promise of future growth.</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0"/>
        </w:rPr>
      </w:pPr>
    </w:p>
    <w:p w:rsidR="00771384" w:rsidRPr="00E23637" w:rsidRDefault="00771384">
      <w:pPr>
        <w:pStyle w:val="Heading1"/>
        <w:rPr>
          <w:rFonts w:ascii="Times New Roman" w:hAnsi="Times New Roman"/>
          <w:i w:val="0"/>
        </w:rPr>
      </w:pPr>
      <w:r w:rsidRPr="00E23637">
        <w:rPr>
          <w:rFonts w:ascii="Times New Roman" w:hAnsi="Times New Roman"/>
          <w:i w:val="0"/>
        </w:rPr>
        <w:t>Sr. Lecturer SOE: teaching ability of exceptional quality and evidence demonstrate,  in terms appropriate to this type of appointment, that the candidate has reached the level of professional achievement required of a professor.</w:t>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b/>
          <w:sz w:val="20"/>
        </w:rPr>
        <w:t>II.</w:t>
      </w:r>
      <w:r w:rsidRPr="00E23637">
        <w:rPr>
          <w:b/>
          <w:sz w:val="20"/>
        </w:rPr>
        <w:tab/>
        <w:t xml:space="preserve">Appointment Criteria </w:t>
      </w:r>
      <w:r w:rsidRPr="00E23637">
        <w:rPr>
          <w:sz w:val="20"/>
        </w:rPr>
        <w:tab/>
      </w: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E23637">
        <w:rPr>
          <w:sz w:val="20"/>
          <w:u w:val="single"/>
        </w:rPr>
        <w:t>Teaching:</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Excellent teaching is an essential criterion for appointment.  Clear documentation of ability and effectiveness in teaching is required.  In judging the effectiveness of a candidate's teaching, such points as the following should be considered:</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sz w:val="20"/>
        </w:rPr>
      </w:pPr>
    </w:p>
    <w:p w:rsidR="00771384" w:rsidRPr="00D021EA" w:rsidRDefault="00771384">
      <w:pPr>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The candidate's command of his/her subject.</w:t>
      </w:r>
    </w:p>
    <w:p w:rsidR="00771384" w:rsidRPr="00D021EA" w:rsidRDefault="0077138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Continuous growth in his/her field.</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3.</w:t>
      </w:r>
      <w:r w:rsidRPr="00D021EA">
        <w:rPr>
          <w:sz w:val="20"/>
        </w:rPr>
        <w:tab/>
        <w:t>Ability to organize material and to present it with force and logic.</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4.</w:t>
      </w:r>
      <w:r w:rsidRPr="00D021EA">
        <w:rPr>
          <w:sz w:val="20"/>
        </w:rPr>
        <w:tab/>
        <w:t>Capacity to awaken in students an awareness of the relationship of his/her subject to other fields of knowledge.</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5.</w:t>
      </w:r>
      <w:r w:rsidRPr="00D021EA">
        <w:rPr>
          <w:sz w:val="20"/>
        </w:rPr>
        <w:tab/>
        <w:t>Grasp of general objectives.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6.</w:t>
      </w:r>
      <w:r w:rsidRPr="00D021EA">
        <w:rPr>
          <w:sz w:val="20"/>
        </w:rPr>
        <w:tab/>
        <w:t>The spirit and enthusiasm which vitalize his/her learning and teaching.</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7.</w:t>
      </w:r>
      <w:r w:rsidRPr="00D021EA">
        <w:rPr>
          <w:sz w:val="20"/>
        </w:rPr>
        <w:tab/>
        <w:t>Ability to arouse curiosity in beginning students and to stimulate advanced students to creative work.</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8.</w:t>
      </w:r>
      <w:r w:rsidRPr="00D021EA">
        <w:rPr>
          <w:sz w:val="20"/>
        </w:rPr>
        <w:tab/>
        <w:t>Personal attributes as they affect his/her teaching and students.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9.</w:t>
      </w:r>
      <w:r w:rsidRPr="00D021EA">
        <w:rPr>
          <w:sz w:val="20"/>
        </w:rPr>
        <w:tab/>
        <w:t>The extent and skill of his/her participation in the general guidance and advising of students.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pStyle w:val="Heading6"/>
        <w:rPr>
          <w:rFonts w:ascii="Times New Roman" w:hAnsi="Times New Roman"/>
          <w:bCs w:val="0"/>
        </w:rPr>
      </w:pPr>
      <w:r w:rsidRPr="00D021EA">
        <w:rPr>
          <w:rFonts w:ascii="Times New Roman" w:hAnsi="Times New Roman"/>
          <w:bCs w:val="0"/>
        </w:rPr>
        <w:t>Documentation</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Documentation of teaching should include a description of the candidate's teaching load for the review period (at UCSB the normal teaching load for Lecturers in the SOE series is three courses per quarter or an appropriate equivalent).  Documentation should also include an enumeration of the MA and Ph.D. candidates supervised or directed to completion of their degrees, and class-by-class summaries of all available teaching evaluations.  Other significant types of evidence include:</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1.</w:t>
      </w:r>
      <w:r w:rsidRPr="00D021EA">
        <w:rPr>
          <w:sz w:val="20"/>
        </w:rPr>
        <w:tab/>
        <w:t>Opinions of colleagues, particularly if based on class visits, observations of lectures, or knowledge or performance in courses prerequisite to those taught by the informant.</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2.</w:t>
      </w:r>
      <w:r w:rsidRPr="00D021EA">
        <w:rPr>
          <w:sz w:val="20"/>
        </w:rPr>
        <w:tab/>
        <w:t>Opinions of current and former students.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3.</w:t>
      </w:r>
      <w:r w:rsidRPr="00D021EA">
        <w:rPr>
          <w:sz w:val="20"/>
        </w:rPr>
        <w:tab/>
        <w:t>Number and caliber of students the candidate has guided in their studies or attracted to the campus by his/her repute.</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4.</w:t>
      </w:r>
      <w:r w:rsidRPr="00D021EA">
        <w:rPr>
          <w:sz w:val="20"/>
        </w:rPr>
        <w:tab/>
        <w:t>Information about the reception of lectures given by the candidate before professional or learned societies.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5.</w:t>
      </w:r>
      <w:r w:rsidRPr="00D021EA">
        <w:rPr>
          <w:sz w:val="20"/>
        </w:rPr>
        <w:tab/>
        <w:t>Information about time spent in teaching extra courses including University Extension, being available to and guiding students outside class, preparing for classes, undertaking courses he/she has not taught before, and improving instructional methods.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pStyle w:val="BodyText"/>
        <w:tabs>
          <w:tab w:val="clear" w:pos="720"/>
          <w:tab w:val="left" w:pos="0"/>
        </w:tabs>
        <w:rPr>
          <w:rFonts w:ascii="Times New Roman" w:hAnsi="Times New Roman"/>
        </w:rPr>
      </w:pPr>
      <w:r w:rsidRPr="00D021EA">
        <w:rPr>
          <w:rFonts w:ascii="Times New Roman" w:hAnsi="Times New Roman"/>
        </w:rPr>
        <w:t>Student and peer evaluation of teaching is central to the review process, but evidence will also be sought of significant contributions to university level teaching through development of superior teaching materials, programs for teaching improvement, and other activities related to teaching.</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pStyle w:val="Heading6"/>
        <w:rPr>
          <w:rFonts w:ascii="Times New Roman" w:hAnsi="Times New Roman"/>
          <w:bCs w:val="0"/>
        </w:rPr>
      </w:pPr>
      <w:r w:rsidRPr="00D021EA">
        <w:rPr>
          <w:rFonts w:ascii="Times New Roman" w:hAnsi="Times New Roman"/>
          <w:bCs w:val="0"/>
        </w:rPr>
        <w:t>Professional Competence and Activity</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Evidence includes such items as: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r w:rsidRPr="00D021EA">
        <w:rPr>
          <w:sz w:val="20"/>
        </w:rPr>
        <w:t>1.</w:t>
      </w:r>
      <w:r w:rsidRPr="00D021EA">
        <w:rPr>
          <w:sz w:val="20"/>
        </w:rPr>
        <w:tab/>
        <w:t>Election to significant offices of professional or learned societies.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771384" w:rsidRPr="00D021EA" w:rsidRDefault="00611D23">
      <w:pPr>
        <w:widowControl w:val="0"/>
        <w:numPr>
          <w:ilvl w:val="0"/>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Invitations</w:t>
      </w:r>
      <w:r w:rsidR="00771384" w:rsidRPr="00D021EA">
        <w:rPr>
          <w:sz w:val="20"/>
        </w:rPr>
        <w:t xml:space="preserve"> to lecture, present papers, etc.</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3.</w:t>
      </w:r>
      <w:r w:rsidRPr="00D021EA">
        <w:rPr>
          <w:sz w:val="20"/>
        </w:rPr>
        <w:tab/>
        <w:t>Awards, grants or honors bestowed by organizations or foundations.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4.</w:t>
      </w:r>
      <w:r w:rsidRPr="00D021EA">
        <w:rPr>
          <w:sz w:val="20"/>
        </w:rPr>
        <w:tab/>
        <w:t>Requests for consultative service.</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u w:val="single"/>
        </w:rPr>
        <w:t>University and Public Service</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 xml:space="preserve">Evidence should include a list of the candidate's services (with dates) in departmental, Academic Senate and administrative capacities (including committee service), and a list of formal service to the community or to public agencies.  Evaluation of service in these areas is helpful. Recognition should be accorded the candidate for able administrative or faculty </w:t>
      </w:r>
      <w:proofErr w:type="gramStart"/>
      <w:r w:rsidRPr="00D021EA">
        <w:rPr>
          <w:sz w:val="20"/>
        </w:rPr>
        <w:t>governance,</w:t>
      </w:r>
      <w:proofErr w:type="gramEnd"/>
      <w:r w:rsidRPr="00D021EA">
        <w:rPr>
          <w:sz w:val="20"/>
        </w:rPr>
        <w:t xml:space="preserve"> and for able service to the community, state or nation when such service rests upon professional expertise.  Contributions to student welfare should also be recognized.</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5529A" w:rsidRPr="00D021EA" w:rsidRDefault="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u w:val="single"/>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u w:val="single"/>
        </w:rPr>
        <w:t>Letters of evaluation</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5529A"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 xml:space="preserve">At least </w:t>
      </w:r>
      <w:r w:rsidR="00B5529A" w:rsidRPr="00D021EA">
        <w:rPr>
          <w:sz w:val="20"/>
        </w:rPr>
        <w:t xml:space="preserve">six </w:t>
      </w:r>
      <w:r w:rsidRPr="00D021EA">
        <w:rPr>
          <w:sz w:val="20"/>
        </w:rPr>
        <w:t>letters of evaluation should be submitted with the case for appointment or promotion with Security of Employment,</w:t>
      </w:r>
      <w:r w:rsidR="00D021EA">
        <w:rPr>
          <w:sz w:val="20"/>
        </w:rPr>
        <w:t xml:space="preserve"> </w:t>
      </w:r>
      <w:r w:rsidRPr="00D021EA">
        <w:rPr>
          <w:sz w:val="20"/>
        </w:rPr>
        <w:t>at least half of which come from individuals selected by the Chair in consultation with the department but independent of the candidate.</w:t>
      </w:r>
      <w:r w:rsidRPr="00D021EA">
        <w:rPr>
          <w:color w:val="FF0000"/>
          <w:sz w:val="20"/>
        </w:rPr>
        <w:t xml:space="preserve"> </w:t>
      </w:r>
      <w:r w:rsidR="00B5529A" w:rsidRPr="00D021EA">
        <w:rPr>
          <w:color w:val="FF0000"/>
          <w:sz w:val="20"/>
        </w:rPr>
        <w:t xml:space="preserve"> </w:t>
      </w:r>
      <w:r w:rsidR="00B5529A" w:rsidRPr="00D021EA">
        <w:rPr>
          <w:sz w:val="20"/>
        </w:rPr>
        <w:t>The letters may be of two types:</w:t>
      </w:r>
    </w:p>
    <w:p w:rsidR="00B5529A" w:rsidRPr="00D021EA" w:rsidRDefault="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 w:val="20"/>
        </w:rPr>
      </w:pPr>
    </w:p>
    <w:p w:rsidR="00B5529A" w:rsidRPr="00D021EA" w:rsidRDefault="00771384" w:rsidP="00B5529A">
      <w:pPr>
        <w:widowControl w:val="0"/>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D021EA">
        <w:rPr>
          <w:sz w:val="20"/>
        </w:rPr>
        <w:t xml:space="preserve"> Letters from extramural referees with knowledge of the candidate’s professional status and teaching record</w:t>
      </w:r>
      <w:r w:rsidR="00B5529A" w:rsidRPr="00D021EA">
        <w:rPr>
          <w:sz w:val="20"/>
        </w:rPr>
        <w:t>.</w:t>
      </w:r>
      <w:r w:rsidRPr="00D021EA">
        <w:rPr>
          <w:sz w:val="20"/>
        </w:rPr>
        <w:t xml:space="preserve"> </w:t>
      </w:r>
    </w:p>
    <w:p w:rsidR="00D021EA" w:rsidRPr="00D021EA" w:rsidRDefault="00D021EA" w:rsidP="00D021E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5529A" w:rsidRPr="00D021EA" w:rsidRDefault="00B5529A" w:rsidP="00B5529A">
      <w:pPr>
        <w:pStyle w:val="ListParagraph"/>
        <w:widowControl w:val="0"/>
        <w:numPr>
          <w:ilvl w:val="0"/>
          <w:numId w:val="15"/>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D021EA">
        <w:rPr>
          <w:sz w:val="20"/>
        </w:rPr>
        <w:t xml:space="preserve">Letters from UCSB Senate faculty, external to the department, who have conducted </w:t>
      </w:r>
      <w:r w:rsidR="00D84495" w:rsidRPr="00D021EA">
        <w:rPr>
          <w:sz w:val="20"/>
        </w:rPr>
        <w:t xml:space="preserve">a </w:t>
      </w:r>
      <w:r w:rsidRPr="00D021EA">
        <w:rPr>
          <w:sz w:val="20"/>
        </w:rPr>
        <w:t xml:space="preserve">peer review of the candidate’s teaching.  Peer evaluation may include classroom visits or videotaping, commentary on course syllabi, reading assignments, and examinations.  Qualitative descriptions and opinions are </w:t>
      </w:r>
      <w:r w:rsidR="003677FB" w:rsidRPr="00D021EA">
        <w:rPr>
          <w:sz w:val="20"/>
        </w:rPr>
        <w:t>preferable to</w:t>
      </w:r>
      <w:r w:rsidRPr="00D021EA">
        <w:rPr>
          <w:sz w:val="20"/>
        </w:rPr>
        <w:t xml:space="preserve"> quantitative ratings or comparative rankings in peer evaluation of teaching.  Such letters are subject to the same redaction and confidentiality policies as extramural letters.  </w:t>
      </w:r>
    </w:p>
    <w:p w:rsidR="00B5529A" w:rsidRPr="00D021EA" w:rsidRDefault="00B5529A" w:rsidP="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FF0000"/>
          <w:sz w:val="20"/>
        </w:rPr>
      </w:pPr>
    </w:p>
    <w:p w:rsidR="00B5529A" w:rsidRPr="00D021EA" w:rsidRDefault="00B5529A" w:rsidP="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Appointments to Lecturer, Potential Security of Employment may include placement files or restricted letters as outlined in Red Binder I-46, III.</w:t>
      </w:r>
    </w:p>
    <w:p w:rsidR="00B5529A" w:rsidRPr="00D021EA" w:rsidRDefault="00B5529A" w:rsidP="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B5529A" w:rsidP="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I</w:t>
      </w:r>
      <w:r w:rsidR="00771384" w:rsidRPr="00D021EA">
        <w:rPr>
          <w:sz w:val="20"/>
        </w:rPr>
        <w:t>n all cases, the sample letter for solicitation of extramural evaluation (Red Binder I-49)</w:t>
      </w:r>
      <w:r w:rsidR="00FD2012" w:rsidRPr="00D021EA">
        <w:rPr>
          <w:sz w:val="20"/>
        </w:rPr>
        <w:t xml:space="preserve"> and the sample wording by proposed action (Red Binder I-50) </w:t>
      </w:r>
      <w:r w:rsidR="00771384" w:rsidRPr="00D021EA">
        <w:rPr>
          <w:sz w:val="20"/>
        </w:rPr>
        <w:t>should be used.</w:t>
      </w:r>
    </w:p>
    <w:p w:rsidR="00B5529A" w:rsidRPr="00D021EA" w:rsidRDefault="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5529A" w:rsidRPr="00D021EA" w:rsidRDefault="00B552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b/>
          <w:sz w:val="20"/>
        </w:rPr>
        <w:t>III.</w:t>
      </w:r>
      <w:r w:rsidRPr="00D021EA">
        <w:rPr>
          <w:b/>
          <w:sz w:val="20"/>
        </w:rPr>
        <w:tab/>
        <w:t>Compensation</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pStyle w:val="BodyText"/>
        <w:tabs>
          <w:tab w:val="clear" w:pos="720"/>
          <w:tab w:val="left" w:pos="0"/>
        </w:tabs>
        <w:rPr>
          <w:rFonts w:ascii="Times New Roman" w:hAnsi="Times New Roman"/>
        </w:rPr>
      </w:pPr>
      <w:r w:rsidRPr="00D021EA">
        <w:rPr>
          <w:rFonts w:ascii="Times New Roman" w:hAnsi="Times New Roman"/>
        </w:rPr>
        <w:t>The review cycle for a Lecturer in the SOE series is determined by the years at rank and years since last advancement</w:t>
      </w:r>
      <w:r w:rsidR="00032258" w:rsidRPr="00D021EA">
        <w:rPr>
          <w:rFonts w:ascii="Times New Roman" w:hAnsi="Times New Roman"/>
        </w:rPr>
        <w:t>.</w:t>
      </w:r>
      <w:r w:rsidRPr="00D021EA">
        <w:rPr>
          <w:rFonts w:ascii="Times New Roman" w:hAnsi="Times New Roman"/>
        </w:rPr>
        <w:t xml:space="preserve"> </w:t>
      </w:r>
    </w:p>
    <w:p w:rsidR="00771384" w:rsidRPr="00D021EA" w:rsidRDefault="00771384">
      <w:pPr>
        <w:pStyle w:val="BodyTextIndent"/>
        <w:tabs>
          <w:tab w:val="clear" w:pos="1440"/>
          <w:tab w:val="left" w:pos="0"/>
        </w:tabs>
        <w:ind w:left="0" w:firstLine="0"/>
        <w:rPr>
          <w:rFonts w:ascii="Times New Roman" w:hAnsi="Times New Roman"/>
        </w:rPr>
      </w:pPr>
    </w:p>
    <w:p w:rsidR="00771384" w:rsidRPr="00D021EA" w:rsidRDefault="00771384">
      <w:pPr>
        <w:pStyle w:val="BodyTextIndent"/>
        <w:tabs>
          <w:tab w:val="clear" w:pos="1440"/>
          <w:tab w:val="left" w:pos="0"/>
        </w:tabs>
        <w:ind w:left="0" w:firstLine="0"/>
        <w:rPr>
          <w:rFonts w:ascii="Times New Roman" w:hAnsi="Times New Roman"/>
        </w:rPr>
      </w:pPr>
      <w:r w:rsidRPr="00D021EA">
        <w:rPr>
          <w:rFonts w:ascii="Times New Roman" w:hAnsi="Times New Roman"/>
        </w:rPr>
        <w:t>Salaries for Lecturers with Potential Security of Employment will normally begin at a close equivalent to the salaries for Assistant Professors.  Academic personnel review will occur every two years.</w:t>
      </w:r>
      <w:r w:rsidR="00B26B16" w:rsidRPr="00D021EA">
        <w:rPr>
          <w:rFonts w:ascii="Times New Roman" w:hAnsi="Times New Roman"/>
        </w:rPr>
        <w:t xml:space="preserve">  Promotion to Lecturer SOE will normally occur during the sixth year of service as Lecturer PSOE.</w:t>
      </w:r>
    </w:p>
    <w:p w:rsidR="00771384" w:rsidRPr="00D021EA" w:rsidRDefault="0077138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 xml:space="preserve"> </w:t>
      </w:r>
    </w:p>
    <w:p w:rsidR="00771384" w:rsidRPr="00D021EA" w:rsidRDefault="00771384">
      <w:pPr>
        <w:pStyle w:val="BodyTextIndent"/>
        <w:tabs>
          <w:tab w:val="clear" w:pos="1440"/>
          <w:tab w:val="left" w:pos="0"/>
        </w:tabs>
        <w:ind w:left="0" w:firstLine="0"/>
        <w:rPr>
          <w:rFonts w:ascii="Times New Roman" w:hAnsi="Times New Roman"/>
        </w:rPr>
      </w:pPr>
      <w:r w:rsidRPr="00D021EA">
        <w:rPr>
          <w:rFonts w:ascii="Times New Roman" w:hAnsi="Times New Roman"/>
        </w:rPr>
        <w:t xml:space="preserve">Salaries for a Lecturer SOE normally begin at a close equivalent to the salaries for Associate Professors. Academic personnel review will occur every two years. Eligibility for advancement to Senior Lecturer SOE will occur after six years as Lecturer SOE.  An individual who is not promoted to Sr. Lecturer SOE may continue to receive further merit increases, however eligibility will be every three years if the individual  is being paid at a level equivalent to the salary of a Professor. </w:t>
      </w:r>
      <w:r w:rsidR="00E07D1B" w:rsidRPr="00D021EA">
        <w:rPr>
          <w:rFonts w:ascii="Times New Roman" w:hAnsi="Times New Roman"/>
        </w:rPr>
        <w:t xml:space="preserve">The salary of a Lecturer SOE will not exceed the level of Professor </w:t>
      </w:r>
      <w:r w:rsidR="00943586" w:rsidRPr="00D021EA">
        <w:rPr>
          <w:rFonts w:ascii="Times New Roman" w:hAnsi="Times New Roman"/>
        </w:rPr>
        <w:t>VI</w:t>
      </w:r>
      <w:r w:rsidR="00E07D1B" w:rsidRPr="00D021EA">
        <w:rPr>
          <w:rFonts w:ascii="Times New Roman" w:hAnsi="Times New Roman"/>
        </w:rPr>
        <w:t>.</w:t>
      </w:r>
    </w:p>
    <w:p w:rsidR="00771384" w:rsidRPr="00D021EA" w:rsidRDefault="00771384">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pStyle w:val="BodyTextIndent"/>
        <w:tabs>
          <w:tab w:val="clear" w:pos="1440"/>
          <w:tab w:val="left" w:pos="0"/>
        </w:tabs>
        <w:ind w:left="0" w:firstLine="0"/>
        <w:rPr>
          <w:rFonts w:ascii="Times New Roman" w:hAnsi="Times New Roman"/>
        </w:rPr>
      </w:pPr>
      <w:r w:rsidRPr="00D021EA">
        <w:rPr>
          <w:rFonts w:ascii="Times New Roman" w:hAnsi="Times New Roman"/>
        </w:rPr>
        <w:t>Salaries for a Senior Lecturer SOE begin at a close equivalent to the salary for Professor I.  Academic personnel review will occur every three years.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D021EA">
        <w:rPr>
          <w:b/>
          <w:sz w:val="20"/>
        </w:rPr>
        <w:t>IV.</w:t>
      </w:r>
      <w:r w:rsidRPr="00D021EA">
        <w:rPr>
          <w:b/>
          <w:sz w:val="20"/>
        </w:rPr>
        <w:tab/>
        <w:t>Restrictions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pStyle w:val="BodyTextIndent3"/>
        <w:rPr>
          <w:rFonts w:ascii="Times New Roman" w:hAnsi="Times New Roman"/>
        </w:rPr>
      </w:pPr>
      <w:r w:rsidRPr="00D021EA">
        <w:rPr>
          <w:rFonts w:ascii="Times New Roman" w:hAnsi="Times New Roman"/>
        </w:rPr>
        <w:tab/>
        <w:t>1.</w:t>
      </w:r>
      <w:r w:rsidRPr="00D021EA">
        <w:rPr>
          <w:rFonts w:ascii="Times New Roman" w:hAnsi="Times New Roman"/>
        </w:rPr>
        <w:tab/>
        <w:t xml:space="preserve">An Assistant Professor with eight years of service, who is not promoted to Associate Professor may not be appointed to the Lecturer SOE series unless a </w:t>
      </w:r>
      <w:proofErr w:type="gramStart"/>
      <w:r w:rsidRPr="00D021EA">
        <w:rPr>
          <w:rFonts w:ascii="Times New Roman" w:hAnsi="Times New Roman"/>
        </w:rPr>
        <w:t>five year</w:t>
      </w:r>
      <w:proofErr w:type="gramEnd"/>
      <w:r w:rsidRPr="00D021EA">
        <w:rPr>
          <w:rFonts w:ascii="Times New Roman" w:hAnsi="Times New Roman"/>
        </w:rPr>
        <w:t xml:space="preserve"> break in service has occurred.</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ab/>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r w:rsidRPr="00D021EA">
        <w:rPr>
          <w:sz w:val="20"/>
        </w:rPr>
        <w:tab/>
        <w:t>2.</w:t>
      </w:r>
      <w:r w:rsidRPr="00D021EA">
        <w:rPr>
          <w:sz w:val="20"/>
        </w:rPr>
        <w:tab/>
        <w:t>Total service at more than half-time as Lecturer with Potential Security of Employment is limited to a maximum of eight years.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E07D1B">
      <w:pPr>
        <w:widowControl w:val="0"/>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For a Lecturer PSOE at less than 100% time, p</w:t>
      </w:r>
      <w:r w:rsidR="00771384" w:rsidRPr="00D021EA">
        <w:rPr>
          <w:sz w:val="20"/>
        </w:rPr>
        <w:t>romotion to Lecturer SOE automatically removes the individual from Unit 18.</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pStyle w:val="BodyTextIndent3"/>
        <w:rPr>
          <w:rFonts w:ascii="Times New Roman" w:hAnsi="Times New Roman"/>
        </w:rPr>
      </w:pPr>
      <w:r w:rsidRPr="00D021EA">
        <w:rPr>
          <w:rFonts w:ascii="Times New Roman" w:hAnsi="Times New Roman"/>
        </w:rPr>
        <w:tab/>
        <w:t>4.</w:t>
      </w:r>
      <w:r w:rsidRPr="00D021EA">
        <w:rPr>
          <w:rFonts w:ascii="Times New Roman" w:hAnsi="Times New Roman"/>
        </w:rPr>
        <w:tab/>
        <w:t>Since appointees in the Lecturer series are hired for their teaching skills, they will normally carry significantly higher teaching loads than members of the professorial</w:t>
      </w:r>
    </w:p>
    <w:p w:rsidR="00771384" w:rsidRPr="00D021EA" w:rsidRDefault="00771384">
      <w:pPr>
        <w:pStyle w:val="BodyTextIndent3"/>
        <w:rPr>
          <w:rFonts w:ascii="Times New Roman" w:hAnsi="Times New Roman"/>
        </w:rPr>
      </w:pPr>
      <w:r w:rsidRPr="00D021EA">
        <w:rPr>
          <w:rFonts w:ascii="Times New Roman" w:hAnsi="Times New Roman"/>
        </w:rPr>
        <w:tab/>
      </w:r>
      <w:r w:rsidRPr="00D021EA">
        <w:rPr>
          <w:rFonts w:ascii="Times New Roman" w:hAnsi="Times New Roman"/>
        </w:rPr>
        <w:tab/>
      </w:r>
      <w:proofErr w:type="gramStart"/>
      <w:r w:rsidRPr="00D021EA">
        <w:rPr>
          <w:rFonts w:ascii="Times New Roman" w:hAnsi="Times New Roman"/>
        </w:rPr>
        <w:t>series</w:t>
      </w:r>
      <w:proofErr w:type="gramEnd"/>
      <w:r w:rsidRPr="00D021EA">
        <w:rPr>
          <w:rFonts w:ascii="Times New Roman" w:hAnsi="Times New Roman"/>
        </w:rPr>
        <w:t>.  At UCSB the teaching load for the Lecturer SOE series will be determined by the departmental workload policy for titles in Unit 18.</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trike/>
          <w:sz w:val="20"/>
        </w:rPr>
      </w:pPr>
      <w:r w:rsidRPr="00D021EA">
        <w:rPr>
          <w:sz w:val="20"/>
        </w:rPr>
        <w:t>5.</w:t>
      </w:r>
      <w:r w:rsidRPr="00D021EA">
        <w:rPr>
          <w:sz w:val="20"/>
        </w:rPr>
        <w:tab/>
        <w:t>Lecturers in the SOE series are not eligible for sabbatical leave.  They may however request "educational leave</w:t>
      </w:r>
      <w:r w:rsidR="00E8354E" w:rsidRPr="00D021EA">
        <w:rPr>
          <w:sz w:val="20"/>
        </w:rPr>
        <w:t>” as described in Red Binder VI-</w:t>
      </w:r>
      <w:r w:rsidR="00C16933" w:rsidRPr="00D021EA">
        <w:rPr>
          <w:sz w:val="20"/>
        </w:rPr>
        <w:t>7.</w:t>
      </w:r>
      <w:r w:rsidR="00E8354E" w:rsidRPr="00D021EA">
        <w:rPr>
          <w:sz w:val="20"/>
        </w:rPr>
        <w:t xml:space="preserve"> </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rPr>
      </w:pPr>
    </w:p>
    <w:p w:rsidR="00771384" w:rsidRPr="00D021EA" w:rsidRDefault="00771384">
      <w:pPr>
        <w:pStyle w:val="Heading2"/>
        <w:rPr>
          <w:rFonts w:ascii="Times New Roman" w:hAnsi="Times New Roman"/>
          <w:sz w:val="20"/>
        </w:rPr>
      </w:pPr>
      <w:r w:rsidRPr="00D021EA">
        <w:rPr>
          <w:rFonts w:ascii="Times New Roman" w:hAnsi="Times New Roman"/>
          <w:sz w:val="20"/>
        </w:rPr>
        <w:t>V.</w:t>
      </w:r>
      <w:r w:rsidRPr="00D021EA">
        <w:rPr>
          <w:rFonts w:ascii="Times New Roman" w:hAnsi="Times New Roman"/>
          <w:sz w:val="20"/>
        </w:rPr>
        <w:tab/>
        <w:t>Advancement</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71384" w:rsidRPr="00D021EA" w:rsidRDefault="00771384">
      <w:pPr>
        <w:pStyle w:val="BodyTextIndent"/>
        <w:tabs>
          <w:tab w:val="clear" w:pos="1440"/>
          <w:tab w:val="left" w:pos="0"/>
        </w:tabs>
        <w:ind w:left="0" w:firstLine="0"/>
        <w:rPr>
          <w:rFonts w:ascii="Times New Roman" w:hAnsi="Times New Roman"/>
        </w:rPr>
      </w:pPr>
      <w:r w:rsidRPr="00D021EA">
        <w:rPr>
          <w:rFonts w:ascii="Times New Roman" w:hAnsi="Times New Roman"/>
        </w:rPr>
        <w:t xml:space="preserve">The academic advancement process for the Lecturer SOE series will be governed by the policies and procedures for ladder faculty reviews (Red Binder I-22).  Lecturers in this series will be guaranteed the same rights and will </w:t>
      </w:r>
      <w:r w:rsidRPr="00D021EA">
        <w:rPr>
          <w:rFonts w:ascii="Times New Roman" w:hAnsi="Times New Roman"/>
        </w:rPr>
        <w:lastRenderedPageBreak/>
        <w:t xml:space="preserve">undergo the same levels of review as ladder faculty.  All cases </w:t>
      </w:r>
      <w:r w:rsidR="000C3205" w:rsidRPr="00D021EA">
        <w:rPr>
          <w:rFonts w:ascii="Times New Roman" w:hAnsi="Times New Roman"/>
        </w:rPr>
        <w:t xml:space="preserve">are to be submitted via </w:t>
      </w:r>
      <w:r w:rsidR="00D14D9B" w:rsidRPr="00A7689C">
        <w:rPr>
          <w:rFonts w:ascii="Times New Roman" w:hAnsi="Times New Roman"/>
        </w:rPr>
        <w:t>AP Folio</w:t>
      </w:r>
      <w:r w:rsidR="006F4F74" w:rsidRPr="00A7689C">
        <w:rPr>
          <w:rFonts w:ascii="Times New Roman" w:hAnsi="Times New Roman"/>
        </w:rPr>
        <w:t xml:space="preserve"> </w:t>
      </w:r>
      <w:r w:rsidR="000C3205" w:rsidRPr="00D021EA">
        <w:rPr>
          <w:rFonts w:ascii="Times New Roman" w:hAnsi="Times New Roman"/>
        </w:rPr>
        <w:t xml:space="preserve">using </w:t>
      </w:r>
      <w:r w:rsidR="006F4F74" w:rsidRPr="00D021EA">
        <w:rPr>
          <w:rFonts w:ascii="Times New Roman" w:hAnsi="Times New Roman"/>
        </w:rPr>
        <w:t>the checklists for submission by the department chair (Red Binder I-31 and I-34)</w:t>
      </w:r>
      <w:r w:rsidRPr="00D021EA">
        <w:rPr>
          <w:rFonts w:ascii="Times New Roman" w:hAnsi="Times New Roman"/>
        </w:rPr>
        <w:t>.</w:t>
      </w:r>
      <w:r w:rsidR="000C3205" w:rsidRPr="00D021EA">
        <w:rPr>
          <w:rFonts w:ascii="Times New Roman" w:hAnsi="Times New Roman"/>
        </w:rPr>
        <w:t xml:space="preserve">  </w:t>
      </w:r>
      <w:r w:rsidR="00D84495" w:rsidRPr="00D021EA">
        <w:rPr>
          <w:rFonts w:ascii="Times New Roman" w:hAnsi="Times New Roman"/>
        </w:rPr>
        <w:t>T</w:t>
      </w:r>
      <w:r w:rsidR="006F4F74" w:rsidRPr="00D021EA">
        <w:rPr>
          <w:rFonts w:ascii="Times New Roman" w:hAnsi="Times New Roman"/>
        </w:rPr>
        <w:t xml:space="preserve">eaching is the primary area of review </w:t>
      </w:r>
      <w:r w:rsidR="004F6931" w:rsidRPr="00D021EA">
        <w:rPr>
          <w:rFonts w:ascii="Times New Roman" w:hAnsi="Times New Roman"/>
        </w:rPr>
        <w:t>in the SOE series</w:t>
      </w:r>
      <w:r w:rsidR="00D021EA" w:rsidRPr="00D021EA">
        <w:rPr>
          <w:rFonts w:ascii="Times New Roman" w:hAnsi="Times New Roman"/>
        </w:rPr>
        <w:t>.</w:t>
      </w:r>
      <w:r w:rsidR="004F6931" w:rsidRPr="00D021EA">
        <w:rPr>
          <w:rFonts w:ascii="Times New Roman" w:hAnsi="Times New Roman"/>
        </w:rPr>
        <w:t xml:space="preserve"> </w:t>
      </w:r>
      <w:r w:rsidR="00D021EA" w:rsidRPr="00D021EA">
        <w:rPr>
          <w:rFonts w:ascii="Times New Roman" w:hAnsi="Times New Roman"/>
        </w:rPr>
        <w:t xml:space="preserve"> </w:t>
      </w:r>
      <w:r w:rsidR="00D84495" w:rsidRPr="00D021EA">
        <w:rPr>
          <w:rFonts w:ascii="Times New Roman" w:hAnsi="Times New Roman"/>
        </w:rPr>
        <w:t>W</w:t>
      </w:r>
      <w:r w:rsidR="004F6931" w:rsidRPr="00D021EA">
        <w:rPr>
          <w:rFonts w:ascii="Times New Roman" w:hAnsi="Times New Roman"/>
        </w:rPr>
        <w:t xml:space="preserve">ritten student comments </w:t>
      </w:r>
      <w:r w:rsidR="00D84495" w:rsidRPr="00D021EA">
        <w:rPr>
          <w:rFonts w:ascii="Times New Roman" w:hAnsi="Times New Roman"/>
        </w:rPr>
        <w:t xml:space="preserve">must </w:t>
      </w:r>
      <w:r w:rsidR="004F6931" w:rsidRPr="00D021EA">
        <w:rPr>
          <w:rFonts w:ascii="Times New Roman" w:hAnsi="Times New Roman"/>
        </w:rPr>
        <w:t>be included with the case.</w:t>
      </w:r>
    </w:p>
    <w:p w:rsidR="00771384" w:rsidRPr="00D021EA" w:rsidRDefault="00771384">
      <w:pPr>
        <w:pStyle w:val="BodyTextIndent"/>
        <w:tabs>
          <w:tab w:val="clear" w:pos="1440"/>
          <w:tab w:val="left" w:pos="0"/>
        </w:tabs>
        <w:ind w:left="0" w:firstLine="0"/>
        <w:rPr>
          <w:rFonts w:ascii="Times New Roman" w:hAnsi="Times New Roman"/>
        </w:rPr>
      </w:pPr>
    </w:p>
    <w:p w:rsidR="00771384" w:rsidRPr="00D021EA" w:rsidRDefault="00771384">
      <w:pPr>
        <w:pStyle w:val="BodyTextIndent"/>
        <w:tabs>
          <w:tab w:val="clear" w:pos="1440"/>
        </w:tabs>
        <w:ind w:left="720" w:firstLine="0"/>
        <w:rPr>
          <w:rFonts w:ascii="Times New Roman" w:hAnsi="Times New Roman"/>
        </w:rPr>
      </w:pPr>
      <w:r w:rsidRPr="00D021EA">
        <w:rPr>
          <w:rFonts w:ascii="Times New Roman" w:hAnsi="Times New Roman"/>
        </w:rPr>
        <w:t>1.</w:t>
      </w:r>
      <w:r w:rsidRPr="00D021EA">
        <w:rPr>
          <w:rFonts w:ascii="Times New Roman" w:hAnsi="Times New Roman"/>
          <w:u w:val="single"/>
        </w:rPr>
        <w:t xml:space="preserve"> Merit</w:t>
      </w:r>
      <w:r w:rsidRPr="00D021EA">
        <w:rPr>
          <w:rFonts w:ascii="Times New Roman" w:hAnsi="Times New Roman"/>
        </w:rPr>
        <w:t xml:space="preserve">  </w:t>
      </w:r>
    </w:p>
    <w:p w:rsidR="00771384" w:rsidRPr="00D021EA" w:rsidRDefault="00771384">
      <w:pPr>
        <w:pStyle w:val="BodyTextIndent"/>
        <w:tabs>
          <w:tab w:val="clear" w:pos="1440"/>
        </w:tabs>
        <w:ind w:left="720" w:firstLine="0"/>
        <w:rPr>
          <w:rFonts w:ascii="Times New Roman" w:hAnsi="Times New Roman"/>
          <w:strike/>
        </w:rPr>
      </w:pPr>
      <w:r w:rsidRPr="00D021EA">
        <w:rPr>
          <w:rFonts w:ascii="Times New Roman" w:hAnsi="Times New Roman"/>
        </w:rPr>
        <w:t xml:space="preserve">Merits within a Lecturer PSOE, Lecturer SOE or Senior Lecturer SOE title are </w:t>
      </w:r>
      <w:r w:rsidR="00112107" w:rsidRPr="00A7689C">
        <w:rPr>
          <w:rFonts w:ascii="Times New Roman" w:hAnsi="Times New Roman"/>
        </w:rPr>
        <w:t xml:space="preserve">Dean’s Authority </w:t>
      </w:r>
      <w:r w:rsidRPr="00A7689C">
        <w:rPr>
          <w:rFonts w:ascii="Times New Roman" w:hAnsi="Times New Roman"/>
        </w:rPr>
        <w:t>i</w:t>
      </w:r>
      <w:r w:rsidRPr="00D021EA">
        <w:rPr>
          <w:rFonts w:ascii="Times New Roman" w:hAnsi="Times New Roman"/>
        </w:rPr>
        <w:t xml:space="preserve">f they are on time based on the limitations in III </w:t>
      </w:r>
      <w:proofErr w:type="gramStart"/>
      <w:r w:rsidRPr="00D021EA">
        <w:rPr>
          <w:rFonts w:ascii="Times New Roman" w:hAnsi="Times New Roman"/>
        </w:rPr>
        <w:t>above,</w:t>
      </w:r>
      <w:proofErr w:type="gramEnd"/>
      <w:r w:rsidRPr="00D021EA">
        <w:rPr>
          <w:rFonts w:ascii="Times New Roman" w:hAnsi="Times New Roman"/>
        </w:rPr>
        <w:t xml:space="preserve"> the proposed salary increase is for at most two increments</w:t>
      </w:r>
      <w:r w:rsidRPr="00D021EA">
        <w:rPr>
          <w:rFonts w:ascii="Times New Roman" w:hAnsi="Times New Roman"/>
          <w:iCs/>
        </w:rPr>
        <w:t xml:space="preserve"> </w:t>
      </w:r>
      <w:r w:rsidRPr="00D021EA">
        <w:rPr>
          <w:rFonts w:ascii="Times New Roman" w:hAnsi="Times New Roman"/>
        </w:rPr>
        <w:t>on the appropriate salary scale</w:t>
      </w:r>
      <w:r w:rsidR="00032258" w:rsidRPr="00D021EA">
        <w:rPr>
          <w:rFonts w:ascii="Times New Roman" w:hAnsi="Times New Roman"/>
        </w:rPr>
        <w:t>.</w:t>
      </w:r>
      <w:r w:rsidRPr="00D021EA">
        <w:rPr>
          <w:rFonts w:ascii="Times New Roman" w:hAnsi="Times New Roman"/>
        </w:rPr>
        <w:t xml:space="preserve">  These actions should be prepared using the guidelines listed in Red Binder I-31</w:t>
      </w:r>
      <w:r w:rsidR="000C3205" w:rsidRPr="00D021EA">
        <w:rPr>
          <w:rFonts w:ascii="Times New Roman" w:hAnsi="Times New Roman"/>
        </w:rPr>
        <w:t>, modified appropriately to address the requirements of the SOE series.</w:t>
      </w:r>
      <w:r w:rsidRPr="00D021EA">
        <w:rPr>
          <w:rFonts w:ascii="Times New Roman" w:hAnsi="Times New Roman"/>
        </w:rPr>
        <w:t xml:space="preserve"> </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 xml:space="preserve">   </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sz w:val="20"/>
        </w:rPr>
        <w:tab/>
        <w:t xml:space="preserve">2.  </w:t>
      </w:r>
      <w:r w:rsidRPr="00D021EA">
        <w:rPr>
          <w:sz w:val="20"/>
          <w:u w:val="single"/>
        </w:rPr>
        <w:t>Appraisal</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021EA">
        <w:rPr>
          <w:sz w:val="20"/>
        </w:rPr>
        <w:t>A Lecturer PSOE has a probationary period much like that of an Assistant Professor.  A mid-career review and appraisal of progress toward promotion will take place during the fourth year of service and will be conducted according to procedures and with the degree of rigor used in evaluating regular faculty (Red Binder I-38</w:t>
      </w:r>
      <w:r w:rsidR="000C3205" w:rsidRPr="00D021EA">
        <w:rPr>
          <w:sz w:val="20"/>
        </w:rPr>
        <w:t>), modified appropriately to address the requirements of the SOE series.</w:t>
      </w: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D021EA">
        <w:rPr>
          <w:i/>
          <w:sz w:val="20"/>
        </w:rPr>
        <w:tab/>
      </w:r>
      <w:r w:rsidRPr="00D021EA">
        <w:rPr>
          <w:sz w:val="20"/>
        </w:rPr>
        <w:t xml:space="preserve">3.  </w:t>
      </w:r>
      <w:r w:rsidRPr="00D021EA">
        <w:rPr>
          <w:sz w:val="20"/>
          <w:u w:val="single"/>
        </w:rPr>
        <w:t>Promotion</w:t>
      </w:r>
    </w:p>
    <w:p w:rsidR="00771384" w:rsidRPr="00D021EA" w:rsidRDefault="00771384">
      <w:pPr>
        <w:pStyle w:val="BodyTextIndent2"/>
        <w:rPr>
          <w:rFonts w:ascii="Times New Roman" w:hAnsi="Times New Roman"/>
          <w:i w:val="0"/>
        </w:rPr>
      </w:pPr>
      <w:r w:rsidRPr="00D021EA">
        <w:rPr>
          <w:rFonts w:ascii="Times New Roman" w:hAnsi="Times New Roman"/>
          <w:i w:val="0"/>
        </w:rPr>
        <w:t>A Lecturer PSOE will become eligible for promotion to Lecturer SOE when the salary is a close equivalent to Assistant Professor IV.  Promotion must occur by the end of the eighth year of service.  Promotion to Lecturer SOE will require the same level of qualifications as initial appointment to Lecturer SOE.</w:t>
      </w:r>
    </w:p>
    <w:p w:rsidR="00771384" w:rsidRPr="00D021EA" w:rsidRDefault="00771384">
      <w:pPr>
        <w:pStyle w:val="BodyTextIndent2"/>
        <w:rPr>
          <w:rFonts w:ascii="Times New Roman" w:hAnsi="Times New Roman"/>
          <w:i w:val="0"/>
        </w:rPr>
      </w:pPr>
    </w:p>
    <w:p w:rsidR="00771384" w:rsidRPr="00D021EA" w:rsidRDefault="00771384">
      <w:pPr>
        <w:pStyle w:val="BodyTextIndent2"/>
        <w:rPr>
          <w:rFonts w:ascii="Times New Roman" w:hAnsi="Times New Roman"/>
          <w:i w:val="0"/>
        </w:rPr>
      </w:pPr>
      <w:r w:rsidRPr="00D021EA">
        <w:rPr>
          <w:rFonts w:ascii="Times New Roman" w:hAnsi="Times New Roman"/>
          <w:i w:val="0"/>
        </w:rPr>
        <w:t xml:space="preserve">A Lecturer SOE will become eligible for promotion to Senior Lecturer SOE </w:t>
      </w:r>
      <w:r w:rsidR="00C90087" w:rsidRPr="00D021EA">
        <w:rPr>
          <w:rFonts w:ascii="Times New Roman" w:hAnsi="Times New Roman"/>
          <w:i w:val="0"/>
        </w:rPr>
        <w:t>after six years of service as Lecturer SOE.</w:t>
      </w:r>
      <w:r w:rsidRPr="00D021EA">
        <w:rPr>
          <w:rFonts w:ascii="Times New Roman" w:hAnsi="Times New Roman"/>
          <w:i w:val="0"/>
        </w:rPr>
        <w:t xml:space="preserve"> </w:t>
      </w:r>
      <w:r w:rsidR="00032258" w:rsidRPr="00D021EA">
        <w:rPr>
          <w:rFonts w:ascii="Times New Roman" w:hAnsi="Times New Roman"/>
          <w:i w:val="0"/>
        </w:rPr>
        <w:t xml:space="preserve"> </w:t>
      </w:r>
      <w:r w:rsidRPr="00D021EA">
        <w:rPr>
          <w:rFonts w:ascii="Times New Roman" w:hAnsi="Times New Roman"/>
          <w:i w:val="0"/>
        </w:rPr>
        <w:t>Promotion to Senior Lecturer SOE will require the same level of qualifications as initial appointment to Senior Lecturer SOE.</w:t>
      </w:r>
    </w:p>
    <w:p w:rsidR="00771384" w:rsidRPr="00D021EA" w:rsidRDefault="00771384">
      <w:pPr>
        <w:pStyle w:val="BodyTextIndent2"/>
        <w:rPr>
          <w:rFonts w:ascii="Times New Roman" w:hAnsi="Times New Roman"/>
        </w:rPr>
      </w:pPr>
    </w:p>
    <w:p w:rsidR="000C3205" w:rsidRPr="00D021EA" w:rsidRDefault="00771384" w:rsidP="000C3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r w:rsidRPr="00D021EA">
        <w:rPr>
          <w:sz w:val="20"/>
        </w:rPr>
        <w:t>Promotions</w:t>
      </w:r>
      <w:r w:rsidR="00032258" w:rsidRPr="00D021EA">
        <w:rPr>
          <w:sz w:val="20"/>
        </w:rPr>
        <w:t xml:space="preserve"> </w:t>
      </w:r>
      <w:r w:rsidRPr="00D021EA">
        <w:rPr>
          <w:sz w:val="20"/>
        </w:rPr>
        <w:t xml:space="preserve">and accelerated actions are </w:t>
      </w:r>
      <w:r w:rsidR="004A5504" w:rsidRPr="00A7689C">
        <w:rPr>
          <w:sz w:val="20"/>
        </w:rPr>
        <w:t>E</w:t>
      </w:r>
      <w:r w:rsidR="00112107" w:rsidRPr="00A7689C">
        <w:rPr>
          <w:sz w:val="20"/>
        </w:rPr>
        <w:t>xpanded Reviews</w:t>
      </w:r>
      <w:r w:rsidRPr="00A7689C">
        <w:rPr>
          <w:sz w:val="20"/>
        </w:rPr>
        <w:t xml:space="preserve"> </w:t>
      </w:r>
      <w:r w:rsidRPr="00D021EA">
        <w:rPr>
          <w:sz w:val="20"/>
        </w:rPr>
        <w:t>and should be prepared using the guidelines listed in Red Binder Section I-34</w:t>
      </w:r>
      <w:r w:rsidR="000C3205" w:rsidRPr="00D021EA">
        <w:rPr>
          <w:sz w:val="20"/>
        </w:rPr>
        <w:t xml:space="preserve"> modified appropriately to address the requirements of the SOE series.</w:t>
      </w:r>
    </w:p>
    <w:p w:rsidR="000C3205" w:rsidRPr="00D021EA" w:rsidRDefault="000C3205" w:rsidP="000C32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771384" w:rsidRPr="00D021EA"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right"/>
        <w:rPr>
          <w:sz w:val="20"/>
        </w:rPr>
      </w:pPr>
    </w:p>
    <w:p w:rsidR="00771384" w:rsidRPr="00E23637" w:rsidRDefault="007713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0"/>
        </w:rPr>
      </w:pPr>
    </w:p>
    <w:sectPr w:rsidR="00771384" w:rsidRPr="00E2363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Times">
    <w:panose1 w:val="0202060306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F60494"/>
    <w:lvl w:ilvl="0">
      <w:numFmt w:val="decimal"/>
      <w:lvlText w:val="*"/>
      <w:lvlJc w:val="left"/>
    </w:lvl>
  </w:abstractNum>
  <w:abstractNum w:abstractNumId="1" w15:restartNumberingAfterBreak="0">
    <w:nsid w:val="018217A7"/>
    <w:multiLevelType w:val="singleLevel"/>
    <w:tmpl w:val="0950BE26"/>
    <w:lvl w:ilvl="0">
      <w:start w:val="1"/>
      <w:numFmt w:val="decimal"/>
      <w:lvlText w:val="%1."/>
      <w:lvlJc w:val="left"/>
      <w:pPr>
        <w:tabs>
          <w:tab w:val="num" w:pos="1440"/>
        </w:tabs>
        <w:ind w:left="1440" w:hanging="720"/>
      </w:pPr>
      <w:rPr>
        <w:rFonts w:hint="default"/>
      </w:rPr>
    </w:lvl>
  </w:abstractNum>
  <w:abstractNum w:abstractNumId="2" w15:restartNumberingAfterBreak="0">
    <w:nsid w:val="0225057E"/>
    <w:multiLevelType w:val="hybridMultilevel"/>
    <w:tmpl w:val="ACBA0640"/>
    <w:lvl w:ilvl="0" w:tplc="B6CC4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614E43"/>
    <w:multiLevelType w:val="hybridMultilevel"/>
    <w:tmpl w:val="F9501412"/>
    <w:lvl w:ilvl="0" w:tplc="4308E30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A540B8"/>
    <w:multiLevelType w:val="hybridMultilevel"/>
    <w:tmpl w:val="4A7A8314"/>
    <w:lvl w:ilvl="0" w:tplc="DBF4A9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04E08"/>
    <w:multiLevelType w:val="singleLevel"/>
    <w:tmpl w:val="AD840D04"/>
    <w:lvl w:ilvl="0">
      <w:start w:val="3"/>
      <w:numFmt w:val="lowerLetter"/>
      <w:lvlText w:val="(%1)"/>
      <w:legacy w:legacy="1" w:legacySpace="120" w:legacyIndent="360"/>
      <w:lvlJc w:val="left"/>
      <w:pPr>
        <w:ind w:left="360" w:hanging="360"/>
      </w:pPr>
    </w:lvl>
  </w:abstractNum>
  <w:abstractNum w:abstractNumId="6" w15:restartNumberingAfterBreak="0">
    <w:nsid w:val="1BEE3A82"/>
    <w:multiLevelType w:val="hybridMultilevel"/>
    <w:tmpl w:val="8D905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341"/>
    <w:multiLevelType w:val="hybridMultilevel"/>
    <w:tmpl w:val="DEE22E40"/>
    <w:lvl w:ilvl="0" w:tplc="80D4E08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9828D7"/>
    <w:multiLevelType w:val="hybridMultilevel"/>
    <w:tmpl w:val="C26C36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176BF9"/>
    <w:multiLevelType w:val="hybridMultilevel"/>
    <w:tmpl w:val="800A9DF2"/>
    <w:lvl w:ilvl="0" w:tplc="EAF8EFF2">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B44B8"/>
    <w:multiLevelType w:val="singleLevel"/>
    <w:tmpl w:val="34C018B6"/>
    <w:lvl w:ilvl="0">
      <w:start w:val="2"/>
      <w:numFmt w:val="decimal"/>
      <w:lvlText w:val="%1."/>
      <w:lvlJc w:val="left"/>
      <w:pPr>
        <w:tabs>
          <w:tab w:val="num" w:pos="1440"/>
        </w:tabs>
        <w:ind w:left="1440" w:hanging="720"/>
      </w:pPr>
      <w:rPr>
        <w:rFonts w:hint="default"/>
      </w:rPr>
    </w:lvl>
  </w:abstractNum>
  <w:abstractNum w:abstractNumId="11" w15:restartNumberingAfterBreak="0">
    <w:nsid w:val="502A103B"/>
    <w:multiLevelType w:val="hybridMultilevel"/>
    <w:tmpl w:val="5E4C0A58"/>
    <w:lvl w:ilvl="0" w:tplc="D7EC3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5C7644"/>
    <w:multiLevelType w:val="hybridMultilevel"/>
    <w:tmpl w:val="4EE049E6"/>
    <w:lvl w:ilvl="0" w:tplc="24505C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A27E33"/>
    <w:multiLevelType w:val="hybridMultilevel"/>
    <w:tmpl w:val="C79C3E52"/>
    <w:lvl w:ilvl="0" w:tplc="2102C8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1666AC"/>
    <w:multiLevelType w:val="singleLevel"/>
    <w:tmpl w:val="2904EC10"/>
    <w:lvl w:ilvl="0">
      <w:start w:val="2"/>
      <w:numFmt w:val="decimal"/>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0"/>
  </w:num>
  <w:num w:numId="4">
    <w:abstractNumId w:val="14"/>
  </w:num>
  <w:num w:numId="5">
    <w:abstractNumId w:val="1"/>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5"/>
  </w:num>
  <w:num w:numId="8">
    <w:abstractNumId w:val="11"/>
  </w:num>
  <w:num w:numId="9">
    <w:abstractNumId w:val="4"/>
  </w:num>
  <w:num w:numId="10">
    <w:abstractNumId w:val="2"/>
  </w:num>
  <w:num w:numId="11">
    <w:abstractNumId w:val="13"/>
  </w:num>
  <w:num w:numId="12">
    <w:abstractNumId w:val="7"/>
  </w:num>
  <w:num w:numId="13">
    <w:abstractNumId w:val="12"/>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42"/>
    <w:rsid w:val="00032258"/>
    <w:rsid w:val="000B69F3"/>
    <w:rsid w:val="000C3205"/>
    <w:rsid w:val="000C3D86"/>
    <w:rsid w:val="00103840"/>
    <w:rsid w:val="00112107"/>
    <w:rsid w:val="00185074"/>
    <w:rsid w:val="00281DD4"/>
    <w:rsid w:val="002C6A54"/>
    <w:rsid w:val="0035166A"/>
    <w:rsid w:val="003677FB"/>
    <w:rsid w:val="003A51BC"/>
    <w:rsid w:val="003B0F7D"/>
    <w:rsid w:val="00414801"/>
    <w:rsid w:val="004A5504"/>
    <w:rsid w:val="004F6931"/>
    <w:rsid w:val="00560F42"/>
    <w:rsid w:val="00611D23"/>
    <w:rsid w:val="006D096D"/>
    <w:rsid w:val="006F4F74"/>
    <w:rsid w:val="00753F4C"/>
    <w:rsid w:val="00771384"/>
    <w:rsid w:val="00943586"/>
    <w:rsid w:val="0094719F"/>
    <w:rsid w:val="00955C72"/>
    <w:rsid w:val="00A7689C"/>
    <w:rsid w:val="00B26B16"/>
    <w:rsid w:val="00B5529A"/>
    <w:rsid w:val="00B81AA9"/>
    <w:rsid w:val="00C16933"/>
    <w:rsid w:val="00C90087"/>
    <w:rsid w:val="00CD0492"/>
    <w:rsid w:val="00D021EA"/>
    <w:rsid w:val="00D14D9B"/>
    <w:rsid w:val="00D420C1"/>
    <w:rsid w:val="00D62054"/>
    <w:rsid w:val="00D84495"/>
    <w:rsid w:val="00E07D1B"/>
    <w:rsid w:val="00E13174"/>
    <w:rsid w:val="00E23637"/>
    <w:rsid w:val="00E8354E"/>
    <w:rsid w:val="00EA5DEE"/>
    <w:rsid w:val="00EA62D4"/>
    <w:rsid w:val="00F334C4"/>
    <w:rsid w:val="00FD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F09E3-986D-4235-B9FC-823A90BA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Palatino" w:hAnsi="Palatino"/>
      <w:i/>
      <w:sz w:val="20"/>
    </w:rPr>
  </w:style>
  <w:style w:type="paragraph" w:styleId="Heading2">
    <w:name w:val="heading 2"/>
    <w:basedOn w:val="Normal"/>
    <w:next w:val="Normal"/>
    <w:qFormat/>
    <w:pPr>
      <w:keepNext/>
      <w:outlineLvl w:val="1"/>
    </w:pPr>
    <w:rPr>
      <w:rFonts w:ascii="Times" w:hAnsi="Times"/>
      <w:b/>
      <w:sz w:val="22"/>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outlineLvl w:val="2"/>
    </w:pPr>
    <w:rPr>
      <w:rFonts w:ascii="Times" w:hAnsi="Times"/>
      <w:b/>
      <w:sz w:val="20"/>
    </w:rPr>
  </w:style>
  <w:style w:type="paragraph" w:styleId="Heading4">
    <w:name w:val="heading 4"/>
    <w:basedOn w:val="Normal"/>
    <w:next w:val="Normal"/>
    <w:qFormat/>
    <w:pPr>
      <w:keepNext/>
      <w:outlineLvl w:val="3"/>
    </w:pPr>
    <w:rPr>
      <w:rFonts w:ascii="Times" w:hAnsi="Times"/>
      <w:b/>
      <w:sz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Palatino" w:hAnsi="Palatino"/>
      <w:b/>
      <w:sz w:val="20"/>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Palatino" w:hAnsi="Palatino"/>
      <w:bCs/>
      <w:sz w:val="20"/>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Palatino" w:hAnsi="Palatino"/>
      <w:b/>
      <w:sz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7"/>
    </w:pPr>
    <w:rPr>
      <w:rFonts w:ascii="Palatino Linotype" w:hAnsi="Palatino Linotype"/>
      <w:sz w:val="20"/>
      <w:u w:val="single"/>
    </w:rPr>
  </w:style>
  <w:style w:type="paragraph" w:styleId="Heading9">
    <w:name w:val="heading 9"/>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8"/>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sz w:val="20"/>
    </w:rPr>
  </w:style>
  <w:style w:type="paragraph" w:styleId="Title">
    <w:name w:val="Title"/>
    <w:basedOn w:val="Normal"/>
    <w:qFormat/>
    <w:pPr>
      <w:jc w:val="center"/>
    </w:pPr>
    <w:rPr>
      <w:rFonts w:ascii="Times" w:hAnsi="Times"/>
      <w:b/>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Palatino" w:hAnsi="Palatino"/>
      <w:sz w:val="2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i/>
      <w:sz w:val="20"/>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Palatino" w:hAnsi="Palatino"/>
      <w:sz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hanging="720"/>
      <w:textAlignment w:val="baseline"/>
    </w:pPr>
    <w:rPr>
      <w:rFonts w:ascii="Palatino" w:hAnsi="Palatino"/>
      <w:sz w:val="20"/>
    </w:rPr>
  </w:style>
  <w:style w:type="paragraph" w:styleId="FootnoteText">
    <w:name w:val="footnote text"/>
    <w:basedOn w:val="Normal"/>
    <w:semiHidden/>
    <w:pPr>
      <w:overflowPunct w:val="0"/>
      <w:autoSpaceDE w:val="0"/>
      <w:autoSpaceDN w:val="0"/>
      <w:adjustRightInd w:val="0"/>
      <w:textAlignment w:val="baseline"/>
    </w:pPr>
    <w:rPr>
      <w:rFonts w:ascii="Arial" w:hAnsi="Arial"/>
      <w:sz w:val="20"/>
    </w:rPr>
  </w:style>
  <w:style w:type="paragraph" w:styleId="BodyText3">
    <w:name w:val="Body Text 3"/>
    <w:basedOn w:val="Normal"/>
    <w:pPr>
      <w:overflowPunct w:val="0"/>
      <w:autoSpaceDE w:val="0"/>
      <w:autoSpaceDN w:val="0"/>
      <w:adjustRightInd w:val="0"/>
      <w:textAlignment w:val="baseline"/>
    </w:pPr>
    <w:rPr>
      <w:rFonts w:ascii="Times" w:hAnsi="Times"/>
      <w:i/>
    </w:rPr>
  </w:style>
  <w:style w:type="character" w:styleId="FootnoteReference">
    <w:name w:val="footnote reference"/>
    <w:semiHidden/>
    <w:rPr>
      <w:vertAlign w:val="superscript"/>
    </w:rPr>
  </w:style>
  <w:style w:type="paragraph" w:styleId="ListParagraph">
    <w:name w:val="List Paragraph"/>
    <w:basedOn w:val="Normal"/>
    <w:uiPriority w:val="34"/>
    <w:qFormat/>
    <w:rsid w:val="00B5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I-1</vt:lpstr>
    </vt:vector>
  </TitlesOfParts>
  <Company>Academic Personnel</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Cindy Ponce</dc:creator>
  <cp:lastModifiedBy>Cindy Doherty</cp:lastModifiedBy>
  <cp:revision>2</cp:revision>
  <cp:lastPrinted>2006-10-04T18:03:00Z</cp:lastPrinted>
  <dcterms:created xsi:type="dcterms:W3CDTF">2019-03-22T17:13:00Z</dcterms:created>
  <dcterms:modified xsi:type="dcterms:W3CDTF">2019-03-22T17:13:00Z</dcterms:modified>
</cp:coreProperties>
</file>